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Arial" w:hAnsi="Arial" w:cs="Arial"/>
          <w:i w:val="0"/>
          <w:caps w:val="0"/>
          <w:color w:val="000000"/>
          <w:spacing w:val="0"/>
          <w:sz w:val="18"/>
          <w:szCs w:val="18"/>
        </w:rPr>
      </w:pPr>
      <w:r>
        <w:rPr>
          <w:rFonts w:ascii="黑体" w:hAnsi="宋体" w:eastAsia="黑体" w:cs="黑体"/>
          <w:i w:val="0"/>
          <w:caps w:val="0"/>
          <w:color w:val="000000"/>
          <w:spacing w:val="0"/>
          <w:kern w:val="0"/>
          <w:sz w:val="28"/>
          <w:szCs w:val="28"/>
          <w:bdr w:val="none" w:color="auto" w:sz="0" w:space="0"/>
          <w:lang w:val="en-US" w:eastAsia="zh-CN" w:bidi="ar"/>
        </w:rPr>
        <w:t>华南理工大学2020年硕士研究生入学</w:t>
      </w:r>
      <w:r>
        <w:rPr>
          <w:rFonts w:hint="default" w:ascii="Arial" w:hAnsi="Arial" w:eastAsia="宋体" w:cs="Arial"/>
          <w:i w:val="0"/>
          <w:caps w:val="0"/>
          <w:color w:val="000000"/>
          <w:spacing w:val="0"/>
          <w:kern w:val="0"/>
          <w:sz w:val="18"/>
          <w:szCs w:val="18"/>
          <w:bdr w:val="none" w:color="auto" w:sz="0" w:space="0"/>
          <w:lang w:val="en-US" w:eastAsia="zh-CN" w:bidi="ar"/>
        </w:rPr>
        <w:t> </w:t>
      </w:r>
      <w:r>
        <w:rPr>
          <w:rFonts w:hint="default" w:ascii="Arial" w:hAnsi="Arial" w:eastAsia="宋体" w:cs="Arial"/>
          <w:i w:val="0"/>
          <w:caps w:val="0"/>
          <w:color w:val="000000"/>
          <w:spacing w:val="0"/>
          <w:kern w:val="0"/>
          <w:sz w:val="18"/>
          <w:szCs w:val="18"/>
          <w:bdr w:val="none" w:color="auto" w:sz="0" w:space="0"/>
          <w:lang w:val="en-US" w:eastAsia="zh-CN" w:bidi="ar"/>
        </w:rPr>
        <w:br w:type="textWrapping"/>
      </w:r>
      <w:r>
        <w:rPr>
          <w:rFonts w:hint="eastAsia" w:ascii="黑体" w:hAnsi="宋体" w:eastAsia="黑体" w:cs="黑体"/>
          <w:i w:val="0"/>
          <w:caps w:val="0"/>
          <w:color w:val="000000"/>
          <w:spacing w:val="0"/>
          <w:kern w:val="0"/>
          <w:sz w:val="34"/>
          <w:szCs w:val="34"/>
          <w:bdr w:val="none" w:color="auto" w:sz="0" w:space="0"/>
          <w:lang w:val="en-US" w:eastAsia="zh-CN" w:bidi="ar"/>
        </w:rPr>
        <w:t>《</w:t>
      </w:r>
      <w:bookmarkStart w:id="0" w:name="_GoBack"/>
      <w:r>
        <w:rPr>
          <w:rFonts w:hint="eastAsia" w:ascii="黑体" w:hAnsi="宋体" w:eastAsia="黑体" w:cs="黑体"/>
          <w:i w:val="0"/>
          <w:caps w:val="0"/>
          <w:color w:val="000000"/>
          <w:spacing w:val="0"/>
          <w:kern w:val="0"/>
          <w:sz w:val="34"/>
          <w:szCs w:val="34"/>
          <w:bdr w:val="none" w:color="auto" w:sz="0" w:space="0"/>
          <w:lang w:val="en-US" w:eastAsia="zh-CN" w:bidi="ar"/>
        </w:rPr>
        <w:t>金融学综合（商业银行管理、财务管理的综合）（971）</w:t>
      </w:r>
      <w:bookmarkEnd w:id="0"/>
      <w:r>
        <w:rPr>
          <w:rFonts w:hint="eastAsia" w:ascii="黑体" w:hAnsi="宋体" w:eastAsia="黑体" w:cs="黑体"/>
          <w:i w:val="0"/>
          <w:caps w:val="0"/>
          <w:color w:val="000000"/>
          <w:spacing w:val="0"/>
          <w:kern w:val="0"/>
          <w:sz w:val="34"/>
          <w:szCs w:val="34"/>
          <w:bdr w:val="none" w:color="auto" w:sz="0" w:space="0"/>
          <w:lang w:val="en-US" w:eastAsia="zh-CN" w:bidi="ar"/>
        </w:rPr>
        <w:t>》考试大纲</w:t>
      </w:r>
    </w:p>
    <w:tbl>
      <w:tblPr>
        <w:tblW w:w="11370" w:type="dxa"/>
        <w:jc w:val="right"/>
        <w:tblInd w:w="-23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2715"/>
        <w:gridCol w:w="5398"/>
        <w:gridCol w:w="2717"/>
        <w:gridCol w:w="5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right"/>
        </w:trPr>
        <w:tc>
          <w:tcPr>
            <w:tcW w:w="2715" w:type="dxa"/>
            <w:tcBorders>
              <w:top w:val="single" w:color="000000" w:sz="12" w:space="0"/>
              <w:left w:val="single" w:color="000000" w:sz="12" w:space="0"/>
              <w:right w:val="single" w:color="000000" w:sz="6" w:space="0"/>
            </w:tcBorders>
            <w:shd w:val="clear"/>
            <w:tcMar>
              <w:left w:w="200" w:type="dxa"/>
              <w:right w:w="160" w:type="dxa"/>
            </w:tcMar>
            <w:vAlign w:val="center"/>
          </w:tcPr>
          <w:p>
            <w:pPr>
              <w:keepNext w:val="0"/>
              <w:keepLines w:val="0"/>
              <w:widowControl/>
              <w:suppressLineNumbers w:val="0"/>
              <w:spacing w:line="375" w:lineRule="atLeast"/>
              <w:jc w:val="center"/>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命题方式</w:t>
            </w:r>
          </w:p>
        </w:tc>
        <w:tc>
          <w:tcPr>
            <w:tcW w:w="5398" w:type="dxa"/>
            <w:tcBorders>
              <w:top w:val="single" w:color="000000" w:sz="12" w:space="0"/>
              <w:right w:val="single" w:color="000000" w:sz="6" w:space="0"/>
            </w:tcBorders>
            <w:shd w:val="clear"/>
            <w:tcMar>
              <w:left w:w="200" w:type="dxa"/>
              <w:right w:w="160" w:type="dxa"/>
            </w:tcMar>
            <w:vAlign w:val="center"/>
          </w:tcPr>
          <w:p>
            <w:pPr>
              <w:keepNext w:val="0"/>
              <w:keepLines w:val="0"/>
              <w:widowControl/>
              <w:suppressLineNumbers w:val="0"/>
              <w:spacing w:line="375" w:lineRule="atLeast"/>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招生单位自命题</w:t>
            </w:r>
          </w:p>
        </w:tc>
        <w:tc>
          <w:tcPr>
            <w:tcW w:w="2717" w:type="dxa"/>
            <w:tcBorders>
              <w:top w:val="single" w:color="000000" w:sz="12" w:space="0"/>
              <w:right w:val="single" w:color="000000" w:sz="6" w:space="0"/>
            </w:tcBorders>
            <w:shd w:val="clear"/>
            <w:tcMar>
              <w:left w:w="200" w:type="dxa"/>
              <w:right w:w="160" w:type="dxa"/>
            </w:tcMar>
            <w:vAlign w:val="center"/>
          </w:tcPr>
          <w:p>
            <w:pPr>
              <w:keepNext w:val="0"/>
              <w:keepLines w:val="0"/>
              <w:widowControl/>
              <w:suppressLineNumbers w:val="0"/>
              <w:spacing w:line="375" w:lineRule="atLeast"/>
              <w:jc w:val="center"/>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科目类别</w:t>
            </w:r>
          </w:p>
        </w:tc>
        <w:tc>
          <w:tcPr>
            <w:tcW w:w="540" w:type="dxa"/>
            <w:tcBorders>
              <w:top w:val="single" w:color="000000" w:sz="12" w:space="0"/>
              <w:bottom w:val="single" w:color="000000" w:sz="6" w:space="0"/>
              <w:right w:val="single" w:color="000000" w:sz="12" w:space="0"/>
            </w:tcBorders>
            <w:shd w:val="clear"/>
            <w:tcMar>
              <w:left w:w="200" w:type="dxa"/>
              <w:right w:w="160" w:type="dxa"/>
            </w:tcMar>
            <w:vAlign w:val="center"/>
          </w:tcPr>
          <w:p>
            <w:pPr>
              <w:keepNext w:val="0"/>
              <w:keepLines w:val="0"/>
              <w:widowControl/>
              <w:suppressLineNumbers w:val="0"/>
              <w:spacing w:line="375" w:lineRule="atLeast"/>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复试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right"/>
        </w:trPr>
        <w:tc>
          <w:tcPr>
            <w:tcW w:w="2715" w:type="dxa"/>
            <w:tcBorders>
              <w:top w:val="single" w:color="000000" w:sz="6" w:space="0"/>
              <w:left w:val="single" w:color="000000" w:sz="12" w:space="0"/>
              <w:right w:val="single" w:color="000000" w:sz="6" w:space="0"/>
            </w:tcBorders>
            <w:shd w:val="clear"/>
            <w:tcMar>
              <w:left w:w="200" w:type="dxa"/>
              <w:right w:w="160" w:type="dxa"/>
            </w:tcMar>
            <w:vAlign w:val="center"/>
          </w:tcPr>
          <w:p>
            <w:pPr>
              <w:keepNext w:val="0"/>
              <w:keepLines w:val="0"/>
              <w:widowControl/>
              <w:suppressLineNumbers w:val="0"/>
              <w:spacing w:line="375" w:lineRule="atLeast"/>
              <w:jc w:val="center"/>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满分</w:t>
            </w:r>
          </w:p>
        </w:tc>
        <w:tc>
          <w:tcPr>
            <w:tcW w:w="8655" w:type="dxa"/>
            <w:gridSpan w:val="3"/>
            <w:tcBorders>
              <w:top w:val="single" w:color="000000" w:sz="6" w:space="0"/>
              <w:right w:val="single" w:color="000000" w:sz="12" w:space="0"/>
            </w:tcBorders>
            <w:shd w:val="clear"/>
            <w:tcMar>
              <w:left w:w="200" w:type="dxa"/>
              <w:right w:w="160" w:type="dxa"/>
            </w:tcMar>
            <w:vAlign w:val="center"/>
          </w:tcPr>
          <w:p>
            <w:pPr>
              <w:keepNext w:val="0"/>
              <w:keepLines w:val="0"/>
              <w:widowControl/>
              <w:suppressLineNumbers w:val="0"/>
              <w:spacing w:line="375" w:lineRule="atLeast"/>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right"/>
        </w:trPr>
        <w:tc>
          <w:tcPr>
            <w:tcW w:w="11370" w:type="dxa"/>
            <w:gridSpan w:val="4"/>
            <w:tcBorders>
              <w:top w:val="single" w:color="000000" w:sz="6" w:space="0"/>
              <w:left w:val="single" w:color="000000" w:sz="12" w:space="0"/>
              <w:bottom w:val="single" w:color="000000" w:sz="6" w:space="0"/>
              <w:right w:val="single" w:color="000000" w:sz="12" w:space="0"/>
            </w:tcBorders>
            <w:shd w:val="clear"/>
            <w:tcMar>
              <w:left w:w="200" w:type="dxa"/>
              <w:right w:w="160" w:type="dxa"/>
            </w:tcMar>
            <w:vAlign w:val="top"/>
          </w:tcPr>
          <w:p>
            <w:pPr>
              <w:pStyle w:val="2"/>
              <w:keepNext w:val="0"/>
              <w:keepLines w:val="0"/>
              <w:widowControl/>
              <w:suppressLineNumbers w:val="0"/>
              <w:spacing w:line="375" w:lineRule="atLeast"/>
              <w:jc w:val="left"/>
            </w:pPr>
            <w:r>
              <w:rPr>
                <w:rStyle w:val="5"/>
                <w:rFonts w:hint="default" w:ascii="Verdana" w:hAnsi="Verdana" w:cs="Verdana"/>
                <w:sz w:val="18"/>
                <w:szCs w:val="18"/>
                <w:bdr w:val="none" w:color="auto" w:sz="0" w:space="0"/>
              </w:rPr>
              <w:t>考试性质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right"/>
        </w:trPr>
        <w:tc>
          <w:tcPr>
            <w:tcW w:w="11370" w:type="dxa"/>
            <w:gridSpan w:val="4"/>
            <w:tcBorders>
              <w:top w:val="single" w:color="000000" w:sz="6" w:space="0"/>
              <w:left w:val="single" w:color="000000" w:sz="12" w:space="0"/>
              <w:bottom w:val="single" w:color="000000" w:sz="6" w:space="0"/>
              <w:right w:val="single" w:color="000000" w:sz="12" w:space="0"/>
            </w:tcBorders>
            <w:shd w:val="clear"/>
            <w:tcMar>
              <w:left w:w="200" w:type="dxa"/>
              <w:right w:w="160" w:type="dxa"/>
            </w:tcMar>
            <w:vAlign w:val="top"/>
          </w:tcPr>
          <w:p>
            <w:pPr>
              <w:pStyle w:val="2"/>
              <w:keepNext w:val="0"/>
              <w:keepLines w:val="0"/>
              <w:widowControl/>
              <w:suppressLineNumbers w:val="0"/>
              <w:spacing w:line="375" w:lineRule="atLeast"/>
              <w:jc w:val="left"/>
            </w:pPr>
            <w:r>
              <w:rPr>
                <w:rStyle w:val="5"/>
                <w:rFonts w:hint="default" w:ascii="Verdana" w:hAnsi="Verdana" w:cs="Verdana"/>
                <w:sz w:val="18"/>
                <w:szCs w:val="18"/>
                <w:bdr w:val="none" w:color="auto" w:sz="0" w:space="0"/>
              </w:rPr>
              <w:t>考试方式和考试时间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right"/>
        </w:trPr>
        <w:tc>
          <w:tcPr>
            <w:tcW w:w="11370" w:type="dxa"/>
            <w:gridSpan w:val="4"/>
            <w:tcBorders>
              <w:left w:val="single" w:color="000000" w:sz="12" w:space="0"/>
              <w:bottom w:val="single" w:color="000000" w:sz="6" w:space="0"/>
              <w:right w:val="single" w:color="000000" w:sz="12" w:space="0"/>
            </w:tcBorders>
            <w:shd w:val="clear"/>
            <w:tcMar>
              <w:left w:w="200" w:type="dxa"/>
              <w:right w:w="160" w:type="dxa"/>
            </w:tcMar>
            <w:vAlign w:val="top"/>
          </w:tcPr>
          <w:p>
            <w:pPr>
              <w:pStyle w:val="2"/>
              <w:keepNext w:val="0"/>
              <w:keepLines w:val="0"/>
              <w:widowControl/>
              <w:suppressLineNumbers w:val="0"/>
              <w:spacing w:line="375" w:lineRule="atLeast"/>
              <w:jc w:val="left"/>
            </w:pPr>
            <w:r>
              <w:rPr>
                <w:rStyle w:val="5"/>
                <w:rFonts w:hint="default" w:ascii="Verdana" w:hAnsi="Verdana" w:cs="Verdana"/>
                <w:sz w:val="18"/>
                <w:szCs w:val="18"/>
                <w:bdr w:val="none" w:color="auto" w:sz="0" w:space="0"/>
              </w:rPr>
              <w:t>试卷结构</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名词解释</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简答题</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计算题</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论述题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right"/>
        </w:trPr>
        <w:tc>
          <w:tcPr>
            <w:tcW w:w="11370" w:type="dxa"/>
            <w:gridSpan w:val="4"/>
            <w:tcBorders>
              <w:left w:val="single" w:color="000000" w:sz="12" w:space="0"/>
              <w:bottom w:val="single" w:color="000000" w:sz="6" w:space="0"/>
              <w:right w:val="single" w:color="000000" w:sz="12" w:space="0"/>
            </w:tcBorders>
            <w:shd w:val="clear"/>
            <w:tcMar>
              <w:left w:w="200" w:type="dxa"/>
              <w:right w:w="160" w:type="dxa"/>
            </w:tcMar>
            <w:vAlign w:val="top"/>
          </w:tcPr>
          <w:p>
            <w:pPr>
              <w:pStyle w:val="2"/>
              <w:keepNext w:val="0"/>
              <w:keepLines w:val="0"/>
              <w:widowControl/>
              <w:suppressLineNumbers w:val="0"/>
              <w:spacing w:line="375" w:lineRule="atLeast"/>
              <w:jc w:val="left"/>
            </w:pPr>
            <w:r>
              <w:rPr>
                <w:rStyle w:val="5"/>
                <w:rFonts w:hint="default" w:ascii="Verdana" w:hAnsi="Verdana" w:cs="Verdana"/>
                <w:sz w:val="18"/>
                <w:szCs w:val="18"/>
                <w:bdr w:val="none" w:color="auto" w:sz="0" w:space="0"/>
              </w:rPr>
              <w:t>考试内容和考试要求</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一、 考试目的</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金融学综合II考试是金融硕士（专业学位）（025100）复试笔试科目，其目的是考察学生是否掌握了相关商业银行理论与财务基础知识的掌握和运用能力。</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二、考试的性质与范围</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本考试是一种测试应试者商业银行理论与财务基础知识掌握程度的水平考试。考试范围包括商业银行经营管理和财务管理两门课程的基础知识。</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三、考试基本要求</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 准确掌握基础理论的相关知识点。</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 运用有关原理、解释和论证某种观点，辩明理论是非。</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3. 综合运用基础理论，比较和分析有关现实问题。</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四、考试形式</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本考试满分100分，考试时间为2小时，答题方式闭卷、笔试。</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五、考试内容</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内容分值比例：商业银行经营管理约为40分，财务管理部分约为60分。</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第一部分《商业银行经营管理》</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一、商业银行的发展及其影响因素</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 商业银行的性质和功能</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 我国商业银行发展的概况</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3. 影响商业银行发展的主要因素</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二．商业银行评价</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 商业银行的经营目标</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 商业银行的经营原则</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3. 商业银行财务评价体系</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4. 商业银行的监管评级</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5. 商业银行的信用评级</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三．商业银行负债的管理</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 银行负债的构成</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 商业银行存款的管理</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3. 存款保险</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4. 商业银行借款的管理</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四．商业银行贷款的管理</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 贷款的分类方法</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 商业银行的贷款政策</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（1）贷款基本管理制度</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（2）贷款规模政策</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（3）贷款投向政策</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（4）统一授信政策</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（5）关联交易政策</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3. 商业银行贷款的风险分类</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（1）贷款风险分类标准</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（2）贷款损失准备</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4. 商业银行不良贷款的管理</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五．商业银行贷款的信用分析</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 借款企业的财务分析</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 借款企业的非财务因素分析</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3. 贷款担保分析</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六．商业银行的债券投资</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 商业银行债券投资及其目标</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 商业银行债券投资的收益</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3. 商业银行债券投资的风险</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七．商业银行现金资产与流动性的管理</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 商业银行现金资产的构成和特点</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 库存现金的管理</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3. 存款准备金的管理</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4. 存放同业款项的管理</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5. 商业银行流动性的管理</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八．商业银行中间业务的管理</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 中间业务与表外业务</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 支付结算业务与银行卡业务</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3. 代理与资产托管业务</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4. 商业银行的投资银行业务</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5. 商业银行的担保与贷款承诺业务</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九．商业银行的资本管理</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 会计资本的管理</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（1）会计资本的构成本</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（2）会计资本的功能</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（3）会计资本的筹集</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 监管资本：巴塞尔协议的主要内容</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（1）《巴塞尔资本协议I》</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（2）《巴塞尔资本协议II》</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（3）《巴塞尔资本协议III》</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3. 商业银行提高资本充足率的方法</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4. 银行损失与经济资本</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（1）经济资本的定义</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（2）非预期损失与经济资本的本质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十．商业银行的风险管理</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 银行风险的种类</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（1）信用风险</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（2）市场风险</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（3）操作风险</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（4）流动性风险</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（5）国家风险</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（6）声誉风险</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（7）法律风险</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（8）合规风险</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（9）战略风险</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 银行风险管理的流程</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（1）风险识别</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（2）风险计量</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（3）风险监测</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（4）风险控制</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3. 银行风险的控制方法</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（1）风险分散</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（2）风险对冲</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（3）风险转移</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（4）风险规避</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（5）风险抑制</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（6）风险补偿</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第二部分《财务管理》</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一、财务管理职能和目标</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 财务管理的作用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（1）日常性财务管理职能</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（2）非日常性财务管理职能</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 财务管理的目标</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（1）利润最大化</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（2）股东财富最大化</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（3）企业价值最大化</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二、财务报表分析</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 会计报表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（1）利润表、资产负债表、现金流量表的基本结构</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（2）自由现金流量、市盈率与市净率的概念及计算</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 财务报表分析</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（1）财务报表比率分析</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（2）经营杠杆和财务杠杆的定义与计算</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三、长期财务规划</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 销售百分比法的定义、步骤与预测模型</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 外部融资与增长</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（1）稳定状态下的持续增长模型</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（2）非稳定状态下的持续增长模型</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四、营运资本管理</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 流动资产管理</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（1）现金管理的原因、现金周转期、现金收支管理</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（2）应收账款管理的信用政策与信用政策决策</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（3）存货管理的决策模型</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 短期融资管理</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（1）商业信用、银行信用、商业票据融资、抵押性短期融资的特征及优缺点</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（2）资金使用成本、有效利率的计算</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五、货币时间价值与估值</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 货币时间价值</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（1）现值与终值的定义</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（2）单利、复利终值与现值的计算</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（3）年金终值与现值的计算</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 债券的估值</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（1）永久债券的定价模型</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（2）有限到期日的债券估值</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3. 优先股与普通股的估值模型</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六、资本成本</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 负债成本、优先股成本与普通股成本的概念与计算</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 加权平均资本成本（WACC）的定义与计算</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3. 边际资本成本的定义与计算</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4. 资本结构的定义、最优资本结构决策</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5. MM定理</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七、资本预算</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 投资决策方法</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（1）回收期法</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（2）净现值法</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（3）内部收益率法</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  净现值法的实际投资决策应用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八、风险与收益</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 风险与收益的度量</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（1）投资风险收益的定义</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（2）单个证券的收益与风险的衡量</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（3）证券组合的收益与风险的衡量</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 均值方差模型、 资本资产定价模型、 无套利定价模型</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九、长期融资管理</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 长期负债融资的方式与优缺点</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 普通股和优先股融资的方式与优缺点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right"/>
        </w:trPr>
        <w:tc>
          <w:tcPr>
            <w:tcW w:w="11370" w:type="dxa"/>
            <w:gridSpan w:val="4"/>
            <w:tcBorders>
              <w:left w:val="single" w:color="000000" w:sz="12" w:space="0"/>
              <w:bottom w:val="single" w:color="000000" w:sz="12" w:space="0"/>
              <w:right w:val="single" w:color="000000" w:sz="12" w:space="0"/>
            </w:tcBorders>
            <w:shd w:val="clear"/>
            <w:tcMar>
              <w:left w:w="200" w:type="dxa"/>
              <w:right w:w="160" w:type="dxa"/>
            </w:tcMar>
            <w:vAlign w:val="top"/>
          </w:tcPr>
          <w:p>
            <w:pPr>
              <w:pStyle w:val="2"/>
              <w:keepNext w:val="0"/>
              <w:keepLines w:val="0"/>
              <w:widowControl/>
              <w:suppressLineNumbers w:val="0"/>
              <w:spacing w:line="375" w:lineRule="atLeast"/>
              <w:jc w:val="left"/>
            </w:pPr>
            <w:r>
              <w:rPr>
                <w:rStyle w:val="5"/>
                <w:rFonts w:hint="default" w:ascii="Verdana" w:hAnsi="Verdana" w:cs="Verdana"/>
                <w:sz w:val="18"/>
                <w:szCs w:val="18"/>
                <w:bdr w:val="none" w:color="auto" w:sz="0" w:space="0"/>
              </w:rPr>
              <w:t>备注</w:t>
            </w:r>
          </w:p>
        </w:tc>
      </w:tr>
    </w:tbl>
    <w:p/>
    <w:sectPr>
      <w:pgSz w:w="11906" w:h="16838"/>
      <w:pgMar w:top="567" w:right="567" w:bottom="567" w:left="56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auto"/>
    <w:pitch w:val="default"/>
    <w:sig w:usb0="A00006FF" w:usb1="4000205B" w:usb2="00000010" w:usb3="00000000" w:csb0="2000019F" w:csb1="0000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CE63543"/>
    <w:rsid w:val="02DC26A3"/>
    <w:rsid w:val="03114E75"/>
    <w:rsid w:val="05FC033A"/>
    <w:rsid w:val="1D8B3464"/>
    <w:rsid w:val="29E321CC"/>
    <w:rsid w:val="318A65B5"/>
    <w:rsid w:val="40DC0706"/>
    <w:rsid w:val="5BD1301F"/>
    <w:rsid w:val="5CE63543"/>
    <w:rsid w:val="62464B2B"/>
    <w:rsid w:val="68F26092"/>
    <w:rsid w:val="73483227"/>
    <w:rsid w:val="7357054A"/>
    <w:rsid w:val="74AA648B"/>
    <w:rsid w:val="795E04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2019-09-17T01:25:00Z</dcterms:created>
  <dc:creator>Asoul</dc:creator>
  <cp:lastModifiedBy>Asoul</cp:lastModifiedBy>
  <dcterms:modified xsi:type="dcterms:W3CDTF">2019-09-17T02:16:05Z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